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F52B4" w14:textId="77777777" w:rsidR="008E637D" w:rsidRDefault="008E637D" w:rsidP="00671C8A">
      <w:pPr>
        <w:spacing w:after="0"/>
        <w:jc w:val="center"/>
        <w:rPr>
          <w:b/>
          <w:sz w:val="40"/>
          <w:szCs w:val="40"/>
        </w:rPr>
      </w:pPr>
      <w:bookmarkStart w:id="0" w:name="_Hlk45810441"/>
    </w:p>
    <w:p w14:paraId="3F58CD52" w14:textId="7C5267A6" w:rsidR="009C6C12" w:rsidRPr="008E637D" w:rsidRDefault="008E637D" w:rsidP="00671C8A">
      <w:pPr>
        <w:spacing w:after="0"/>
        <w:jc w:val="center"/>
        <w:rPr>
          <w:b/>
          <w:sz w:val="40"/>
          <w:szCs w:val="40"/>
        </w:rPr>
      </w:pPr>
      <w:r w:rsidRPr="008E637D">
        <w:rPr>
          <w:b/>
          <w:sz w:val="40"/>
          <w:szCs w:val="40"/>
        </w:rPr>
        <w:t>2020-2023 STRAGETIC PLAN</w:t>
      </w:r>
    </w:p>
    <w:p w14:paraId="0DAC31A3" w14:textId="21F8F5C9" w:rsidR="008E637D" w:rsidRDefault="008E637D" w:rsidP="008E637D">
      <w:pPr>
        <w:spacing w:after="0"/>
        <w:rPr>
          <w:b/>
          <w:sz w:val="24"/>
          <w:szCs w:val="24"/>
        </w:rPr>
      </w:pPr>
    </w:p>
    <w:p w14:paraId="66F9E301" w14:textId="77777777" w:rsidR="008E637D" w:rsidRDefault="008E637D" w:rsidP="00671C8A">
      <w:pPr>
        <w:spacing w:after="0"/>
        <w:jc w:val="center"/>
        <w:rPr>
          <w:b/>
          <w:sz w:val="24"/>
          <w:szCs w:val="24"/>
        </w:rPr>
      </w:pPr>
    </w:p>
    <w:p w14:paraId="0054E9D8" w14:textId="12C944FA" w:rsidR="008E637D" w:rsidRDefault="008E637D" w:rsidP="008E637D">
      <w:pPr>
        <w:spacing w:after="0"/>
        <w:rPr>
          <w:b/>
          <w:sz w:val="24"/>
          <w:szCs w:val="24"/>
        </w:rPr>
      </w:pPr>
      <w:r w:rsidRPr="008E637D">
        <w:rPr>
          <w:b/>
          <w:sz w:val="24"/>
          <w:szCs w:val="24"/>
        </w:rPr>
        <w:t xml:space="preserve">With over 1,250 members, the </w:t>
      </w:r>
      <w:r>
        <w:rPr>
          <w:b/>
          <w:sz w:val="24"/>
          <w:szCs w:val="24"/>
        </w:rPr>
        <w:t xml:space="preserve">Institute of Municipal Assessors </w:t>
      </w:r>
      <w:r w:rsidRPr="008E637D">
        <w:rPr>
          <w:b/>
          <w:sz w:val="24"/>
          <w:szCs w:val="24"/>
        </w:rPr>
        <w:t xml:space="preserve">is Canada’s largest association of property assessment and taxation professionals. Our diverse membership is comprised of individuals from the private and public sectors practicing in the fields of assessment, consultancy, appraisal, </w:t>
      </w:r>
      <w:proofErr w:type="gramStart"/>
      <w:r w:rsidRPr="008E637D">
        <w:rPr>
          <w:b/>
          <w:sz w:val="24"/>
          <w:szCs w:val="24"/>
        </w:rPr>
        <w:t>taxation</w:t>
      </w:r>
      <w:proofErr w:type="gramEnd"/>
      <w:r w:rsidRPr="008E637D">
        <w:rPr>
          <w:b/>
          <w:sz w:val="24"/>
          <w:szCs w:val="24"/>
        </w:rPr>
        <w:t xml:space="preserve"> and law.</w:t>
      </w:r>
      <w:r>
        <w:rPr>
          <w:b/>
          <w:sz w:val="24"/>
          <w:szCs w:val="24"/>
        </w:rPr>
        <w:t xml:space="preserve">  </w:t>
      </w:r>
      <w:r w:rsidRPr="008E637D">
        <w:rPr>
          <w:b/>
          <w:sz w:val="24"/>
          <w:szCs w:val="24"/>
        </w:rPr>
        <w:t xml:space="preserve">Incorporated in May 1957, the IMA is dedicated to advancing the interests, </w:t>
      </w:r>
      <w:proofErr w:type="gramStart"/>
      <w:r w:rsidRPr="008E637D">
        <w:rPr>
          <w:b/>
          <w:sz w:val="24"/>
          <w:szCs w:val="24"/>
        </w:rPr>
        <w:t>education</w:t>
      </w:r>
      <w:proofErr w:type="gramEnd"/>
      <w:r w:rsidRPr="008E637D">
        <w:rPr>
          <w:b/>
          <w:sz w:val="24"/>
          <w:szCs w:val="24"/>
        </w:rPr>
        <w:t xml:space="preserve"> and professional competence of its</w:t>
      </w:r>
      <w:r>
        <w:rPr>
          <w:b/>
          <w:sz w:val="24"/>
          <w:szCs w:val="24"/>
        </w:rPr>
        <w:t xml:space="preserve"> m</w:t>
      </w:r>
      <w:r w:rsidRPr="008E637D">
        <w:rPr>
          <w:b/>
          <w:sz w:val="24"/>
          <w:szCs w:val="24"/>
        </w:rPr>
        <w:t>embers.</w:t>
      </w:r>
      <w:r>
        <w:rPr>
          <w:b/>
          <w:sz w:val="24"/>
          <w:szCs w:val="24"/>
        </w:rPr>
        <w:t xml:space="preserve">  </w:t>
      </w:r>
      <w:r w:rsidRPr="008E637D">
        <w:rPr>
          <w:b/>
          <w:sz w:val="24"/>
          <w:szCs w:val="24"/>
        </w:rPr>
        <w:t>Our members are highly qualified and widely recognized as the leading professionals in the property assessment industry.</w:t>
      </w:r>
    </w:p>
    <w:p w14:paraId="2398896D" w14:textId="63F47F8E" w:rsidR="00CE5B85" w:rsidRDefault="00CE5B85" w:rsidP="00671C8A">
      <w:pPr>
        <w:spacing w:after="0"/>
        <w:jc w:val="center"/>
        <w:rPr>
          <w:b/>
          <w:sz w:val="24"/>
          <w:szCs w:val="24"/>
        </w:rPr>
      </w:pPr>
    </w:p>
    <w:p w14:paraId="35CE6552" w14:textId="77777777" w:rsidR="008E637D" w:rsidRDefault="008E637D" w:rsidP="00671C8A">
      <w:pPr>
        <w:spacing w:after="0"/>
        <w:jc w:val="center"/>
        <w:rPr>
          <w:b/>
        </w:rPr>
      </w:pPr>
    </w:p>
    <w:tbl>
      <w:tblPr>
        <w:tblStyle w:val="TableGrid"/>
        <w:tblW w:w="17918" w:type="dxa"/>
        <w:jc w:val="center"/>
        <w:tblLook w:val="04A0" w:firstRow="1" w:lastRow="0" w:firstColumn="1" w:lastColumn="0" w:noHBand="0" w:noVBand="1"/>
      </w:tblPr>
      <w:tblGrid>
        <w:gridCol w:w="1702"/>
        <w:gridCol w:w="16216"/>
      </w:tblGrid>
      <w:tr w:rsidR="00C44694" w:rsidRPr="00851108" w14:paraId="5B33C317" w14:textId="77777777" w:rsidTr="008E637D">
        <w:trPr>
          <w:trHeight w:val="1122"/>
          <w:jc w:val="center"/>
        </w:trPr>
        <w:tc>
          <w:tcPr>
            <w:tcW w:w="1702" w:type="dxa"/>
            <w:shd w:val="clear" w:color="auto" w:fill="E2EFD9" w:themeFill="accent6" w:themeFillTint="33"/>
            <w:vAlign w:val="center"/>
          </w:tcPr>
          <w:p w14:paraId="6B830175" w14:textId="0C93C854" w:rsidR="00C44694" w:rsidRPr="00851108" w:rsidRDefault="00837148" w:rsidP="001707F6">
            <w:pPr>
              <w:rPr>
                <w:i/>
                <w:iCs/>
              </w:rPr>
            </w:pPr>
            <w:r w:rsidRPr="00851108">
              <w:rPr>
                <w:i/>
                <w:iCs/>
              </w:rPr>
              <w:t>Vision</w:t>
            </w:r>
          </w:p>
        </w:tc>
        <w:tc>
          <w:tcPr>
            <w:tcW w:w="16216" w:type="dxa"/>
            <w:vAlign w:val="center"/>
          </w:tcPr>
          <w:p w14:paraId="1BDBD2D4" w14:textId="0B56F255" w:rsidR="00C44694" w:rsidRPr="00851108" w:rsidRDefault="001707F6" w:rsidP="001707F6">
            <w:r w:rsidRPr="00851108">
              <w:t xml:space="preserve">To be </w:t>
            </w:r>
            <w:r w:rsidR="0027169E" w:rsidRPr="00851108">
              <w:t>the</w:t>
            </w:r>
            <w:r w:rsidRPr="00851108">
              <w:t xml:space="preserve"> industry leader in </w:t>
            </w:r>
            <w:r w:rsidR="0027169E" w:rsidRPr="00851108">
              <w:t>education,</w:t>
            </w:r>
            <w:r w:rsidR="00E8372C" w:rsidRPr="00851108">
              <w:t xml:space="preserve"> ethical </w:t>
            </w:r>
            <w:r w:rsidR="0027169E" w:rsidRPr="00851108">
              <w:t>standards,</w:t>
            </w:r>
            <w:r w:rsidRPr="00851108">
              <w:t xml:space="preserve"> and </w:t>
            </w:r>
            <w:r w:rsidR="00B161F8">
              <w:t xml:space="preserve">professional </w:t>
            </w:r>
            <w:r w:rsidRPr="00851108">
              <w:t xml:space="preserve">accreditation </w:t>
            </w:r>
            <w:r w:rsidR="00B161F8">
              <w:t>in the field of</w:t>
            </w:r>
            <w:r w:rsidRPr="00851108">
              <w:t xml:space="preserve"> </w:t>
            </w:r>
            <w:r w:rsidR="0066574D">
              <w:t>property assessment in Canada</w:t>
            </w:r>
            <w:r w:rsidR="00B161F8">
              <w:t>.</w:t>
            </w:r>
          </w:p>
        </w:tc>
      </w:tr>
      <w:tr w:rsidR="00C44694" w:rsidRPr="00851108" w14:paraId="3BA2BF6B" w14:textId="77777777" w:rsidTr="008E637D">
        <w:trPr>
          <w:trHeight w:val="1347"/>
          <w:jc w:val="center"/>
        </w:trPr>
        <w:tc>
          <w:tcPr>
            <w:tcW w:w="1702" w:type="dxa"/>
            <w:shd w:val="clear" w:color="auto" w:fill="E2EFD9" w:themeFill="accent6" w:themeFillTint="33"/>
            <w:vAlign w:val="center"/>
          </w:tcPr>
          <w:p w14:paraId="34648CF8" w14:textId="05BB334C" w:rsidR="00C44694" w:rsidRPr="00851108" w:rsidRDefault="00837148" w:rsidP="001707F6">
            <w:pPr>
              <w:rPr>
                <w:i/>
                <w:iCs/>
              </w:rPr>
            </w:pPr>
            <w:r w:rsidRPr="00851108">
              <w:rPr>
                <w:i/>
                <w:iCs/>
              </w:rPr>
              <w:t>Mission</w:t>
            </w:r>
          </w:p>
        </w:tc>
        <w:tc>
          <w:tcPr>
            <w:tcW w:w="16216" w:type="dxa"/>
            <w:vAlign w:val="center"/>
          </w:tcPr>
          <w:p w14:paraId="1080E375" w14:textId="67B804C8" w:rsidR="00C44694" w:rsidRPr="00851108" w:rsidRDefault="001707F6" w:rsidP="001707F6">
            <w:r w:rsidRPr="00851108">
              <w:t>To provide specialized education through a comprehensive approach to training</w:t>
            </w:r>
            <w:r w:rsidR="00837148" w:rsidRPr="00851108">
              <w:t xml:space="preserve"> </w:t>
            </w:r>
            <w:r w:rsidR="00D7315D" w:rsidRPr="00851108">
              <w:t>which embraces</w:t>
            </w:r>
            <w:r w:rsidR="007D5C7F" w:rsidRPr="00851108">
              <w:t xml:space="preserve"> all available</w:t>
            </w:r>
            <w:r w:rsidR="00D7315D" w:rsidRPr="00851108">
              <w:t xml:space="preserve"> technolog</w:t>
            </w:r>
            <w:r w:rsidR="007D5C7F" w:rsidRPr="00851108">
              <w:t>ies</w:t>
            </w:r>
            <w:r w:rsidRPr="00851108">
              <w:t>. To promote professional development and to ensure our members are recognized as experts in the field of property assessment and related functions.</w:t>
            </w:r>
          </w:p>
        </w:tc>
      </w:tr>
      <w:tr w:rsidR="00C44694" w:rsidRPr="00851108" w14:paraId="517E026F" w14:textId="77777777" w:rsidTr="008E637D">
        <w:trPr>
          <w:trHeight w:val="1126"/>
          <w:jc w:val="center"/>
        </w:trPr>
        <w:tc>
          <w:tcPr>
            <w:tcW w:w="1702" w:type="dxa"/>
            <w:shd w:val="clear" w:color="auto" w:fill="E2EFD9" w:themeFill="accent6" w:themeFillTint="33"/>
            <w:vAlign w:val="center"/>
          </w:tcPr>
          <w:p w14:paraId="75C57F83" w14:textId="14864C65" w:rsidR="00C44694" w:rsidRPr="00851108" w:rsidRDefault="00837148" w:rsidP="001707F6">
            <w:pPr>
              <w:rPr>
                <w:i/>
                <w:iCs/>
              </w:rPr>
            </w:pPr>
            <w:r w:rsidRPr="00851108">
              <w:rPr>
                <w:i/>
                <w:iCs/>
              </w:rPr>
              <w:t>Values</w:t>
            </w:r>
          </w:p>
        </w:tc>
        <w:tc>
          <w:tcPr>
            <w:tcW w:w="16216" w:type="dxa"/>
            <w:vAlign w:val="center"/>
          </w:tcPr>
          <w:p w14:paraId="34B9A865" w14:textId="40E679C9" w:rsidR="00837148" w:rsidRPr="00851108" w:rsidRDefault="001707F6" w:rsidP="00837148">
            <w:r w:rsidRPr="00851108">
              <w:t xml:space="preserve">The Institute </w:t>
            </w:r>
            <w:r w:rsidR="00B85CD8">
              <w:t xml:space="preserve">of Municipal Assessors </w:t>
            </w:r>
            <w:r w:rsidRPr="00851108">
              <w:t xml:space="preserve">and its </w:t>
            </w:r>
            <w:r w:rsidR="00D7315D" w:rsidRPr="00851108">
              <w:t>m</w:t>
            </w:r>
            <w:r w:rsidRPr="00851108">
              <w:t>embers value professionalism,</w:t>
            </w:r>
            <w:r w:rsidR="00D7315D" w:rsidRPr="00851108">
              <w:t xml:space="preserve"> inclusivity, diversity,</w:t>
            </w:r>
            <w:r w:rsidRPr="00851108">
              <w:t xml:space="preserve"> integrity, </w:t>
            </w:r>
            <w:r w:rsidR="00837148" w:rsidRPr="00851108">
              <w:t>ethics</w:t>
            </w:r>
            <w:r w:rsidR="00D7315D" w:rsidRPr="00851108">
              <w:t xml:space="preserve">, </w:t>
            </w:r>
            <w:r w:rsidR="00851108" w:rsidRPr="00851108">
              <w:t>accountability,</w:t>
            </w:r>
            <w:r w:rsidRPr="00851108">
              <w:t xml:space="preserve"> and expertise</w:t>
            </w:r>
            <w:r w:rsidR="00D7315D" w:rsidRPr="00851108">
              <w:t>.  The IMA is</w:t>
            </w:r>
            <w:r w:rsidRPr="00851108">
              <w:t xml:space="preserve"> committed to serving </w:t>
            </w:r>
            <w:r w:rsidR="00D7315D" w:rsidRPr="00851108">
              <w:t xml:space="preserve">all </w:t>
            </w:r>
            <w:r w:rsidR="000D1BBB">
              <w:t xml:space="preserve">members and </w:t>
            </w:r>
            <w:r w:rsidR="00D7315D" w:rsidRPr="00851108">
              <w:t>stakeholders</w:t>
            </w:r>
            <w:r w:rsidRPr="00851108">
              <w:t xml:space="preserve"> with competence and respect</w:t>
            </w:r>
            <w:r w:rsidR="00837148" w:rsidRPr="00851108">
              <w:t>, rejecting all forms of prejudice and discrimination.</w:t>
            </w:r>
          </w:p>
        </w:tc>
      </w:tr>
      <w:bookmarkEnd w:id="0"/>
    </w:tbl>
    <w:p w14:paraId="69235CCD" w14:textId="77777777" w:rsidR="00C44694" w:rsidRPr="001707F6" w:rsidRDefault="00C44694" w:rsidP="00A40BA9">
      <w:pPr>
        <w:spacing w:after="0"/>
        <w:jc w:val="center"/>
        <w:rPr>
          <w:b/>
          <w:sz w:val="24"/>
          <w:szCs w:val="24"/>
        </w:rPr>
      </w:pPr>
    </w:p>
    <w:p w14:paraId="021A0D16" w14:textId="77777777" w:rsidR="00837148" w:rsidRDefault="00837148">
      <w:pPr>
        <w:rPr>
          <w:b/>
        </w:rPr>
      </w:pPr>
      <w:r>
        <w:rPr>
          <w:b/>
        </w:rPr>
        <w:br w:type="page"/>
      </w:r>
    </w:p>
    <w:p w14:paraId="34637191" w14:textId="77777777" w:rsidR="008E637D" w:rsidRPr="00C44694" w:rsidRDefault="008E637D" w:rsidP="008E637D">
      <w:pPr>
        <w:spacing w:after="0"/>
        <w:rPr>
          <w:b/>
          <w:sz w:val="24"/>
          <w:szCs w:val="24"/>
        </w:rPr>
      </w:pPr>
    </w:p>
    <w:tbl>
      <w:tblPr>
        <w:tblStyle w:val="TableGrid"/>
        <w:tblW w:w="18428" w:type="dxa"/>
        <w:tblInd w:w="-147" w:type="dxa"/>
        <w:tblLook w:val="04A0" w:firstRow="1" w:lastRow="0" w:firstColumn="1" w:lastColumn="0" w:noHBand="0" w:noVBand="1"/>
      </w:tblPr>
      <w:tblGrid>
        <w:gridCol w:w="1127"/>
        <w:gridCol w:w="5111"/>
        <w:gridCol w:w="4819"/>
        <w:gridCol w:w="7371"/>
      </w:tblGrid>
      <w:tr w:rsidR="008E637D" w:rsidRPr="006314A6" w14:paraId="5C4815E8" w14:textId="691B3159" w:rsidTr="008E637D">
        <w:trPr>
          <w:cantSplit/>
          <w:trHeight w:val="978"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7DB1BEF9" w14:textId="77777777" w:rsidR="008E637D" w:rsidRPr="006314A6" w:rsidRDefault="008E637D" w:rsidP="00BE2707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STRATEGIC </w:t>
            </w:r>
            <w:r w:rsidRPr="006314A6">
              <w:rPr>
                <w:b/>
                <w:bCs/>
                <w:sz w:val="20"/>
                <w:szCs w:val="20"/>
              </w:rPr>
              <w:t>PILLAR</w:t>
            </w:r>
          </w:p>
        </w:tc>
        <w:tc>
          <w:tcPr>
            <w:tcW w:w="5111" w:type="dxa"/>
            <w:shd w:val="clear" w:color="auto" w:fill="D9D9D9" w:themeFill="background1" w:themeFillShade="D9"/>
            <w:vAlign w:val="center"/>
          </w:tcPr>
          <w:p w14:paraId="26F85F34" w14:textId="77777777" w:rsidR="008E637D" w:rsidRPr="006314A6" w:rsidRDefault="008E637D" w:rsidP="00BE2707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6314A6">
              <w:rPr>
                <w:b/>
                <w:bCs/>
                <w:sz w:val="20"/>
                <w:szCs w:val="20"/>
              </w:rPr>
              <w:t>STRATEGIC</w:t>
            </w:r>
            <w:r>
              <w:rPr>
                <w:b/>
                <w:bCs/>
                <w:sz w:val="20"/>
                <w:szCs w:val="20"/>
              </w:rPr>
              <w:t xml:space="preserve"> OBJECTIVE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21691466" w14:textId="77777777" w:rsidR="008E637D" w:rsidRPr="006314A6" w:rsidRDefault="008E637D" w:rsidP="00BE2707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STRATEGIC GOALS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53410244" w14:textId="4C33C1F4" w:rsidR="008E637D" w:rsidRDefault="008E637D" w:rsidP="00BE2707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SAMPLE SUPPORTING ACTIONS</w:t>
            </w:r>
          </w:p>
        </w:tc>
      </w:tr>
      <w:tr w:rsidR="008E637D" w:rsidRPr="006314A6" w14:paraId="6ED87011" w14:textId="57C5DB3F" w:rsidTr="008E637D">
        <w:trPr>
          <w:cantSplit/>
          <w:trHeight w:val="817"/>
        </w:trPr>
        <w:tc>
          <w:tcPr>
            <w:tcW w:w="1127" w:type="dxa"/>
            <w:vMerge w:val="restart"/>
            <w:shd w:val="clear" w:color="auto" w:fill="E2EFD9" w:themeFill="accent6" w:themeFillTint="33"/>
            <w:vAlign w:val="center"/>
          </w:tcPr>
          <w:p w14:paraId="547D45F0" w14:textId="77777777" w:rsidR="008E637D" w:rsidRPr="00536BF4" w:rsidRDefault="008E637D" w:rsidP="00BE2707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536BF4">
              <w:rPr>
                <w:b/>
                <w:bCs/>
                <w:i/>
                <w:iCs/>
                <w:sz w:val="20"/>
                <w:szCs w:val="20"/>
              </w:rPr>
              <w:t>EDUCATE</w:t>
            </w:r>
          </w:p>
        </w:tc>
        <w:tc>
          <w:tcPr>
            <w:tcW w:w="5111" w:type="dxa"/>
            <w:vMerge w:val="restart"/>
            <w:vAlign w:val="center"/>
          </w:tcPr>
          <w:p w14:paraId="64F0EE2A" w14:textId="4435BE6A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  <w:r w:rsidRPr="006314A6">
              <w:rPr>
                <w:sz w:val="20"/>
                <w:szCs w:val="20"/>
              </w:rPr>
              <w:t xml:space="preserve">Be the most trusted, relevant, and accessible provider of </w:t>
            </w:r>
            <w:r>
              <w:rPr>
                <w:sz w:val="20"/>
                <w:szCs w:val="20"/>
              </w:rPr>
              <w:t>education</w:t>
            </w:r>
            <w:r w:rsidRPr="006314A6">
              <w:rPr>
                <w:sz w:val="20"/>
                <w:szCs w:val="20"/>
              </w:rPr>
              <w:t xml:space="preserve"> and credentia</w:t>
            </w:r>
            <w:r>
              <w:rPr>
                <w:sz w:val="20"/>
                <w:szCs w:val="20"/>
              </w:rPr>
              <w:t>ls</w:t>
            </w:r>
            <w:r w:rsidRPr="006314A6">
              <w:rPr>
                <w:sz w:val="20"/>
                <w:szCs w:val="20"/>
              </w:rPr>
              <w:t xml:space="preserve"> in the field of</w:t>
            </w:r>
            <w:r>
              <w:rPr>
                <w:sz w:val="20"/>
                <w:szCs w:val="20"/>
              </w:rPr>
              <w:t xml:space="preserve"> property assessment in Canada</w:t>
            </w:r>
          </w:p>
        </w:tc>
        <w:tc>
          <w:tcPr>
            <w:tcW w:w="4819" w:type="dxa"/>
            <w:vAlign w:val="center"/>
          </w:tcPr>
          <w:p w14:paraId="09EDA345" w14:textId="77777777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  <w:r w:rsidRPr="006314A6">
              <w:rPr>
                <w:sz w:val="20"/>
                <w:szCs w:val="20"/>
              </w:rPr>
              <w:t xml:space="preserve">Ensure a catalogue of relevant, high-quality courses, which meet the evolving needs of assessment professionals </w:t>
            </w:r>
          </w:p>
        </w:tc>
        <w:tc>
          <w:tcPr>
            <w:tcW w:w="7371" w:type="dxa"/>
            <w:vMerge w:val="restart"/>
            <w:vAlign w:val="center"/>
          </w:tcPr>
          <w:p w14:paraId="7B156DFE" w14:textId="77777777" w:rsidR="008E637D" w:rsidRDefault="008E637D" w:rsidP="008E637D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sz w:val="20"/>
                <w:szCs w:val="20"/>
              </w:rPr>
            </w:pPr>
            <w:r w:rsidRPr="006314A6">
              <w:rPr>
                <w:sz w:val="20"/>
                <w:szCs w:val="20"/>
              </w:rPr>
              <w:t>Utilize technology to offer interactive and accessible online events</w:t>
            </w:r>
          </w:p>
          <w:p w14:paraId="615E2118" w14:textId="77777777" w:rsidR="008E637D" w:rsidRDefault="008E637D" w:rsidP="008E637D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provincial legislation-specific content for IMA courses</w:t>
            </w:r>
          </w:p>
          <w:p w14:paraId="5C78F67F" w14:textId="73288EA6" w:rsidR="008E637D" w:rsidRPr="008E637D" w:rsidRDefault="008E637D" w:rsidP="008E637D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 opportunities for collaboration across districts to increase access to quality PD opportunities</w:t>
            </w:r>
          </w:p>
        </w:tc>
      </w:tr>
      <w:tr w:rsidR="008E637D" w:rsidRPr="006314A6" w14:paraId="38DEBE00" w14:textId="27955495" w:rsidTr="008E637D">
        <w:trPr>
          <w:cantSplit/>
          <w:trHeight w:val="546"/>
        </w:trPr>
        <w:tc>
          <w:tcPr>
            <w:tcW w:w="1127" w:type="dxa"/>
            <w:vMerge/>
            <w:shd w:val="clear" w:color="auto" w:fill="E2EFD9" w:themeFill="accent6" w:themeFillTint="33"/>
            <w:vAlign w:val="center"/>
          </w:tcPr>
          <w:p w14:paraId="7F1E4A0F" w14:textId="77777777" w:rsidR="008E637D" w:rsidRPr="00536BF4" w:rsidRDefault="008E637D" w:rsidP="00BE2707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11" w:type="dxa"/>
            <w:vMerge/>
            <w:vAlign w:val="center"/>
          </w:tcPr>
          <w:p w14:paraId="480C2912" w14:textId="77777777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15907F9E" w14:textId="70A996EE" w:rsidR="008E637D" w:rsidRDefault="008E637D" w:rsidP="00BE270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an equal IMA member experience and service, regardless of geography</w:t>
            </w:r>
          </w:p>
        </w:tc>
        <w:tc>
          <w:tcPr>
            <w:tcW w:w="7371" w:type="dxa"/>
            <w:vMerge/>
            <w:vAlign w:val="center"/>
          </w:tcPr>
          <w:p w14:paraId="26DAA7EE" w14:textId="77777777" w:rsidR="008E637D" w:rsidRDefault="008E637D" w:rsidP="00BE2707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E637D" w:rsidRPr="006314A6" w14:paraId="1134EDCB" w14:textId="2D691A19" w:rsidTr="008E637D">
        <w:trPr>
          <w:cantSplit/>
          <w:trHeight w:val="523"/>
        </w:trPr>
        <w:tc>
          <w:tcPr>
            <w:tcW w:w="1127" w:type="dxa"/>
            <w:vMerge w:val="restart"/>
            <w:shd w:val="clear" w:color="auto" w:fill="E2EFD9" w:themeFill="accent6" w:themeFillTint="33"/>
            <w:vAlign w:val="center"/>
          </w:tcPr>
          <w:p w14:paraId="542BD007" w14:textId="77777777" w:rsidR="008E637D" w:rsidRPr="00536BF4" w:rsidRDefault="008E637D" w:rsidP="00BE2707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536BF4">
              <w:rPr>
                <w:b/>
                <w:bCs/>
                <w:i/>
                <w:iCs/>
                <w:sz w:val="20"/>
                <w:szCs w:val="20"/>
              </w:rPr>
              <w:t>GROW</w:t>
            </w:r>
          </w:p>
        </w:tc>
        <w:tc>
          <w:tcPr>
            <w:tcW w:w="5111" w:type="dxa"/>
            <w:vMerge w:val="restart"/>
            <w:vAlign w:val="center"/>
          </w:tcPr>
          <w:p w14:paraId="2FD88811" w14:textId="77777777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Increase</w:t>
            </w:r>
            <w:r w:rsidRPr="006314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 IMA’s membership</w:t>
            </w:r>
            <w:r w:rsidRPr="006314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by serving all career levels and forging strong strategic partnerships. </w:t>
            </w:r>
          </w:p>
        </w:tc>
        <w:tc>
          <w:tcPr>
            <w:tcW w:w="4819" w:type="dxa"/>
            <w:vAlign w:val="center"/>
          </w:tcPr>
          <w:p w14:paraId="20E8C0C1" w14:textId="77777777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Enhance opportunities for senior assessment professionals through the FIMA designation.</w:t>
            </w:r>
          </w:p>
        </w:tc>
        <w:tc>
          <w:tcPr>
            <w:tcW w:w="7371" w:type="dxa"/>
            <w:vMerge w:val="restart"/>
            <w:vAlign w:val="center"/>
          </w:tcPr>
          <w:p w14:paraId="276D4037" w14:textId="77777777" w:rsidR="008E637D" w:rsidRDefault="008E637D" w:rsidP="008E637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sz w:val="20"/>
                <w:szCs w:val="20"/>
              </w:rPr>
            </w:pPr>
            <w:r w:rsidRPr="00536BF4">
              <w:rPr>
                <w:sz w:val="20"/>
                <w:szCs w:val="20"/>
              </w:rPr>
              <w:t>Develop framework for a specialist designation track</w:t>
            </w:r>
            <w:r>
              <w:rPr>
                <w:sz w:val="20"/>
                <w:szCs w:val="20"/>
              </w:rPr>
              <w:t xml:space="preserve"> </w:t>
            </w:r>
          </w:p>
          <w:p w14:paraId="131C40F9" w14:textId="77777777" w:rsidR="008E637D" w:rsidRDefault="008E637D" w:rsidP="008E637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sz w:val="20"/>
                <w:szCs w:val="20"/>
              </w:rPr>
            </w:pPr>
            <w:r w:rsidRPr="008E637D">
              <w:rPr>
                <w:sz w:val="20"/>
                <w:szCs w:val="20"/>
              </w:rPr>
              <w:t>Work collaboratively with strategic partners from across the country to develop criteria for, and launch, the FIMA designation</w:t>
            </w:r>
          </w:p>
          <w:p w14:paraId="341AF33F" w14:textId="3DF543B5" w:rsidR="008E637D" w:rsidRPr="008E637D" w:rsidRDefault="008E637D" w:rsidP="008E637D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Redesign the new member onboarding experience</w:t>
            </w:r>
          </w:p>
        </w:tc>
      </w:tr>
      <w:tr w:rsidR="008E637D" w:rsidRPr="006314A6" w14:paraId="6B8D0C63" w14:textId="08F27A47" w:rsidTr="008E637D">
        <w:trPr>
          <w:cantSplit/>
          <w:trHeight w:val="625"/>
        </w:trPr>
        <w:tc>
          <w:tcPr>
            <w:tcW w:w="1127" w:type="dxa"/>
            <w:vMerge/>
            <w:shd w:val="clear" w:color="auto" w:fill="E2EFD9" w:themeFill="accent6" w:themeFillTint="33"/>
            <w:vAlign w:val="center"/>
          </w:tcPr>
          <w:p w14:paraId="369333A7" w14:textId="77777777" w:rsidR="008E637D" w:rsidRPr="00536BF4" w:rsidRDefault="008E637D" w:rsidP="00BE2707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11" w:type="dxa"/>
            <w:vMerge/>
            <w:vAlign w:val="center"/>
          </w:tcPr>
          <w:p w14:paraId="48315C44" w14:textId="77777777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28AD8B4D" w14:textId="77777777" w:rsidR="008E637D" w:rsidRDefault="008E637D" w:rsidP="00BE270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 with young professionals by enhancing member communications, improving member onboarding, and expanding scholarship opportunities. </w:t>
            </w:r>
          </w:p>
        </w:tc>
        <w:tc>
          <w:tcPr>
            <w:tcW w:w="7371" w:type="dxa"/>
            <w:vMerge/>
            <w:vAlign w:val="center"/>
          </w:tcPr>
          <w:p w14:paraId="5949A6B8" w14:textId="77777777" w:rsidR="008E637D" w:rsidRDefault="008E637D" w:rsidP="00BE2707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E637D" w:rsidRPr="006314A6" w14:paraId="06ECC6D2" w14:textId="798DD222" w:rsidTr="008E637D">
        <w:trPr>
          <w:cantSplit/>
          <w:trHeight w:val="1125"/>
        </w:trPr>
        <w:tc>
          <w:tcPr>
            <w:tcW w:w="1127" w:type="dxa"/>
            <w:vMerge w:val="restart"/>
            <w:shd w:val="clear" w:color="auto" w:fill="E2EFD9" w:themeFill="accent6" w:themeFillTint="33"/>
            <w:vAlign w:val="center"/>
          </w:tcPr>
          <w:p w14:paraId="6A01801E" w14:textId="77777777" w:rsidR="008E637D" w:rsidRPr="00536BF4" w:rsidRDefault="008E637D" w:rsidP="00BE2707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536BF4">
              <w:rPr>
                <w:b/>
                <w:bCs/>
                <w:i/>
                <w:iCs/>
                <w:sz w:val="20"/>
                <w:szCs w:val="20"/>
              </w:rPr>
              <w:t>LEAD</w:t>
            </w:r>
          </w:p>
        </w:tc>
        <w:tc>
          <w:tcPr>
            <w:tcW w:w="5111" w:type="dxa"/>
            <w:vMerge w:val="restart"/>
            <w:vAlign w:val="center"/>
          </w:tcPr>
          <w:p w14:paraId="569CFDD3" w14:textId="28CE24D6" w:rsidR="008E637D" w:rsidRPr="006314A6" w:rsidRDefault="008E637D" w:rsidP="00BE270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Strengthen the reputation of the organization and its members by acting as a leader within the field of property assessment in Canada</w:t>
            </w:r>
          </w:p>
        </w:tc>
        <w:tc>
          <w:tcPr>
            <w:tcW w:w="4819" w:type="dxa"/>
            <w:vAlign w:val="center"/>
          </w:tcPr>
          <w:p w14:paraId="5FC27C50" w14:textId="77777777" w:rsidR="008E637D" w:rsidRDefault="008E637D" w:rsidP="00BE2707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Embrace the role of leader and advocate within the property assessment profession</w:t>
            </w:r>
          </w:p>
        </w:tc>
        <w:tc>
          <w:tcPr>
            <w:tcW w:w="7371" w:type="dxa"/>
            <w:vMerge w:val="restart"/>
            <w:vAlign w:val="center"/>
          </w:tcPr>
          <w:p w14:paraId="20BCB5F0" w14:textId="77777777" w:rsidR="008E637D" w:rsidRDefault="008E637D" w:rsidP="008E637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Adopt an advocacy voice for the assessment profession to ensure interests are being represented</w:t>
            </w:r>
          </w:p>
          <w:p w14:paraId="0BA326B0" w14:textId="77777777" w:rsidR="008E637D" w:rsidRDefault="008E637D" w:rsidP="008E637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 w:rsidRPr="00DC43B6">
              <w:rPr>
                <w:sz w:val="20"/>
                <w:szCs w:val="20"/>
              </w:rPr>
              <w:t>Work with strategic partners to produce industry white papers</w:t>
            </w:r>
            <w:r>
              <w:rPr>
                <w:sz w:val="20"/>
                <w:szCs w:val="20"/>
              </w:rPr>
              <w:t xml:space="preserve"> with national relevance</w:t>
            </w:r>
          </w:p>
          <w:p w14:paraId="50C354C4" w14:textId="14D35CFE" w:rsidR="008E637D" w:rsidRPr="008E637D" w:rsidRDefault="008E637D" w:rsidP="008E637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sz w:val="20"/>
                <w:szCs w:val="20"/>
              </w:rPr>
            </w:pPr>
            <w:r w:rsidRPr="008E637D">
              <w:rPr>
                <w:sz w:val="20"/>
                <w:szCs w:val="20"/>
              </w:rPr>
              <w:t>Engage with various levels of government across Canada</w:t>
            </w:r>
          </w:p>
        </w:tc>
      </w:tr>
      <w:tr w:rsidR="008E637D" w:rsidRPr="006314A6" w14:paraId="73A4EE72" w14:textId="7097CB20" w:rsidTr="008E637D">
        <w:trPr>
          <w:cantSplit/>
          <w:trHeight w:val="404"/>
        </w:trPr>
        <w:tc>
          <w:tcPr>
            <w:tcW w:w="1127" w:type="dxa"/>
            <w:vMerge/>
            <w:shd w:val="clear" w:color="auto" w:fill="E2EFD9" w:themeFill="accent6" w:themeFillTint="33"/>
            <w:vAlign w:val="center"/>
          </w:tcPr>
          <w:p w14:paraId="44940EFA" w14:textId="77777777" w:rsidR="008E637D" w:rsidRPr="00536BF4" w:rsidRDefault="008E637D" w:rsidP="00BC11F9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11" w:type="dxa"/>
            <w:vMerge/>
            <w:vAlign w:val="center"/>
          </w:tcPr>
          <w:p w14:paraId="7F0F587F" w14:textId="77777777" w:rsidR="008E637D" w:rsidRPr="006314A6" w:rsidRDefault="008E637D" w:rsidP="00BC11F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AC2EB83" w14:textId="4F6FD957" w:rsidR="008E637D" w:rsidRDefault="008E637D" w:rsidP="00BC11F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Strengthen current, and develop new, strategic partnerships with peer associations across Canada.</w:t>
            </w:r>
          </w:p>
        </w:tc>
        <w:tc>
          <w:tcPr>
            <w:tcW w:w="7371" w:type="dxa"/>
            <w:vMerge/>
            <w:vAlign w:val="center"/>
          </w:tcPr>
          <w:p w14:paraId="0A58885C" w14:textId="77777777" w:rsidR="008E637D" w:rsidRDefault="008E637D" w:rsidP="00BC11F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E637D" w:rsidRPr="006314A6" w14:paraId="7F8F22CA" w14:textId="0173DD1C" w:rsidTr="008E637D">
        <w:trPr>
          <w:cantSplit/>
          <w:trHeight w:val="1391"/>
        </w:trPr>
        <w:tc>
          <w:tcPr>
            <w:tcW w:w="1127" w:type="dxa"/>
            <w:vMerge w:val="restart"/>
            <w:shd w:val="clear" w:color="auto" w:fill="E2EFD9" w:themeFill="accent6" w:themeFillTint="33"/>
            <w:vAlign w:val="center"/>
          </w:tcPr>
          <w:p w14:paraId="3F055BA3" w14:textId="77777777" w:rsidR="008E637D" w:rsidRPr="00536BF4" w:rsidRDefault="008E637D" w:rsidP="00BC11F9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536BF4">
              <w:rPr>
                <w:b/>
                <w:bCs/>
                <w:i/>
                <w:iCs/>
                <w:sz w:val="20"/>
                <w:szCs w:val="20"/>
              </w:rPr>
              <w:t>GOVERN</w:t>
            </w:r>
          </w:p>
        </w:tc>
        <w:tc>
          <w:tcPr>
            <w:tcW w:w="5111" w:type="dxa"/>
            <w:vMerge w:val="restart"/>
            <w:vAlign w:val="center"/>
          </w:tcPr>
          <w:p w14:paraId="4B9943C5" w14:textId="77777777" w:rsidR="008E637D" w:rsidRPr="006314A6" w:rsidRDefault="008E637D" w:rsidP="00BC11F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Fortify the future of the IMA through operational excellence and a diverse group of talented volunteers</w:t>
            </w:r>
          </w:p>
        </w:tc>
        <w:tc>
          <w:tcPr>
            <w:tcW w:w="4819" w:type="dxa"/>
            <w:vAlign w:val="center"/>
          </w:tcPr>
          <w:p w14:paraId="51C9C850" w14:textId="7CFF6CF1" w:rsidR="008E637D" w:rsidRDefault="008E637D" w:rsidP="00BC11F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and align association management practices with strategic objectives and statements of Vision, Mission and Values. </w:t>
            </w:r>
          </w:p>
        </w:tc>
        <w:tc>
          <w:tcPr>
            <w:tcW w:w="7371" w:type="dxa"/>
            <w:vMerge w:val="restart"/>
            <w:vAlign w:val="center"/>
          </w:tcPr>
          <w:p w14:paraId="062B1BC8" w14:textId="77777777" w:rsidR="008E637D" w:rsidRDefault="008E637D" w:rsidP="008E637D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 w:rsidRPr="00256DB0">
              <w:rPr>
                <w:sz w:val="20"/>
                <w:szCs w:val="20"/>
              </w:rPr>
              <w:t xml:space="preserve">Align the IMA budget and staffing needs to achieve </w:t>
            </w:r>
            <w:r>
              <w:rPr>
                <w:sz w:val="20"/>
                <w:szCs w:val="20"/>
              </w:rPr>
              <w:t xml:space="preserve">clear </w:t>
            </w:r>
            <w:r w:rsidRPr="00256DB0">
              <w:rPr>
                <w:sz w:val="20"/>
                <w:szCs w:val="20"/>
              </w:rPr>
              <w:t>strategic objectives</w:t>
            </w:r>
          </w:p>
          <w:p w14:paraId="25C4AACE" w14:textId="7D5377E2" w:rsidR="008E637D" w:rsidRPr="008E637D" w:rsidRDefault="008E637D" w:rsidP="008E637D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sz w:val="20"/>
                <w:szCs w:val="20"/>
              </w:rPr>
            </w:pPr>
            <w:r w:rsidRPr="008E637D">
              <w:rPr>
                <w:sz w:val="20"/>
                <w:szCs w:val="20"/>
              </w:rPr>
              <w:t>Utilize automation to modernize systems and administrative processes</w:t>
            </w:r>
          </w:p>
          <w:p w14:paraId="54F62AAD" w14:textId="7A507D22" w:rsidR="008E637D" w:rsidRPr="008E637D" w:rsidRDefault="008E637D" w:rsidP="008E637D">
            <w:pPr>
              <w:pStyle w:val="ListParagraph"/>
              <w:numPr>
                <w:ilvl w:val="0"/>
                <w:numId w:val="12"/>
              </w:numPr>
              <w:spacing w:before="120" w:after="120"/>
            </w:pPr>
            <w:r w:rsidRPr="008E637D">
              <w:rPr>
                <w:sz w:val="20"/>
                <w:szCs w:val="20"/>
              </w:rPr>
              <w:t>Review and assess the relevance of current committees to determine if sufficient to meet the requirements of the strategic plan, and create new committees if deemed relevant</w:t>
            </w:r>
          </w:p>
        </w:tc>
      </w:tr>
      <w:tr w:rsidR="008E637D" w:rsidRPr="006314A6" w14:paraId="0D4188CB" w14:textId="02D00ED6" w:rsidTr="008E637D">
        <w:trPr>
          <w:cantSplit/>
          <w:trHeight w:val="562"/>
        </w:trPr>
        <w:tc>
          <w:tcPr>
            <w:tcW w:w="1127" w:type="dxa"/>
            <w:vMerge/>
            <w:shd w:val="clear" w:color="auto" w:fill="E2EFD9" w:themeFill="accent6" w:themeFillTint="33"/>
            <w:vAlign w:val="center"/>
          </w:tcPr>
          <w:p w14:paraId="01328642" w14:textId="77777777" w:rsidR="008E637D" w:rsidRPr="00536BF4" w:rsidRDefault="008E637D" w:rsidP="00BC11F9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11" w:type="dxa"/>
            <w:vMerge/>
            <w:vAlign w:val="center"/>
          </w:tcPr>
          <w:p w14:paraId="0A553EDD" w14:textId="77777777" w:rsidR="008E637D" w:rsidRPr="006314A6" w:rsidRDefault="008E637D" w:rsidP="00BC11F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3595033" w14:textId="77777777" w:rsidR="008E637D" w:rsidRDefault="008E637D" w:rsidP="00BC11F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Secure the IMA’s financial stability by reviewing current pricing model and practicing sound risk management. </w:t>
            </w:r>
          </w:p>
        </w:tc>
        <w:tc>
          <w:tcPr>
            <w:tcW w:w="7371" w:type="dxa"/>
            <w:vMerge/>
            <w:vAlign w:val="center"/>
          </w:tcPr>
          <w:p w14:paraId="02D5DA79" w14:textId="77777777" w:rsidR="008E637D" w:rsidRDefault="008E637D" w:rsidP="00BC11F9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14:paraId="383A473C" w14:textId="54056D26" w:rsidR="00457C5C" w:rsidRDefault="00457C5C" w:rsidP="00B27A86">
      <w:pPr>
        <w:spacing w:before="120" w:after="120"/>
      </w:pPr>
    </w:p>
    <w:sectPr w:rsidR="00457C5C" w:rsidSect="00EA2A16">
      <w:headerReference w:type="default" r:id="rId8"/>
      <w:footerReference w:type="default" r:id="rId9"/>
      <w:pgSz w:w="20160" w:h="12240" w:orient="landscape" w:code="5"/>
      <w:pgMar w:top="1985" w:right="1134" w:bottom="102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2BEE4" w14:textId="77777777" w:rsidR="009266EC" w:rsidRDefault="009266EC" w:rsidP="00CE5B85">
      <w:pPr>
        <w:spacing w:after="0" w:line="240" w:lineRule="auto"/>
      </w:pPr>
      <w:r>
        <w:separator/>
      </w:r>
    </w:p>
  </w:endnote>
  <w:endnote w:type="continuationSeparator" w:id="0">
    <w:p w14:paraId="5979EE60" w14:textId="77777777" w:rsidR="009266EC" w:rsidRDefault="009266EC" w:rsidP="00CE5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75298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A10D6A" w14:textId="55A152F6" w:rsidR="00311494" w:rsidRDefault="003114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3C94C7" w14:textId="420FBFA6" w:rsidR="00E85903" w:rsidRPr="001707F6" w:rsidRDefault="001707F6">
    <w:pPr>
      <w:pStyle w:val="Footer"/>
      <w:rPr>
        <w:sz w:val="20"/>
        <w:szCs w:val="20"/>
        <w:lang w:val="en-US"/>
      </w:rPr>
    </w:pPr>
    <w:r w:rsidRPr="001707F6">
      <w:rPr>
        <w:sz w:val="20"/>
        <w:szCs w:val="20"/>
        <w:lang w:val="en-US"/>
      </w:rPr>
      <w:t>July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38279" w14:textId="77777777" w:rsidR="009266EC" w:rsidRDefault="009266EC" w:rsidP="00CE5B85">
      <w:pPr>
        <w:spacing w:after="0" w:line="240" w:lineRule="auto"/>
      </w:pPr>
      <w:r>
        <w:separator/>
      </w:r>
    </w:p>
  </w:footnote>
  <w:footnote w:type="continuationSeparator" w:id="0">
    <w:p w14:paraId="6FC6A841" w14:textId="77777777" w:rsidR="009266EC" w:rsidRDefault="009266EC" w:rsidP="00CE5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6DEE6" w14:textId="27F88DB3" w:rsidR="00CE5B85" w:rsidRDefault="00457C5C" w:rsidP="00CE5B85">
    <w:pPr>
      <w:pStyle w:val="Header"/>
      <w:jc w:val="center"/>
    </w:pPr>
    <w:sdt>
      <w:sdtPr>
        <w:id w:val="-193581808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25EB79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733147502" o:spid="_x0000_s2049" type="#_x0000_t136" alt="" style="position:absolute;left:0;text-align:left;margin-left:0;margin-top:0;width:611.05pt;height:107.8pt;rotation:315;z-index:-251658752;mso-wrap-edited:f;mso-position-horizontal:center;mso-position-horizontal-relative:margin;mso-position-vertical:center;mso-position-vertical-relative:margin" o:allowincell="f" fillcolor="#d8d8d8 [2732]" stroked="f">
              <v:fill opacity=".5"/>
              <v:textpath style="font-family:&quot;Calibri&quot;;font-size:1pt" string="CONFIDENTIAL DRAFT"/>
              <w10:wrap anchorx="margin" anchory="margin"/>
            </v:shape>
          </w:pict>
        </w:r>
      </w:sdtContent>
    </w:sdt>
    <w:r w:rsidR="00CE5B85">
      <w:rPr>
        <w:noProof/>
      </w:rPr>
      <w:drawing>
        <wp:inline distT="0" distB="0" distL="0" distR="0" wp14:anchorId="49637554" wp14:editId="301BD6D1">
          <wp:extent cx="1629073" cy="6191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 logo with maple lea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8" cy="6281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45B42"/>
    <w:multiLevelType w:val="hybridMultilevel"/>
    <w:tmpl w:val="26723860"/>
    <w:lvl w:ilvl="0" w:tplc="95429458">
      <w:start w:val="1"/>
      <w:numFmt w:val="bullet"/>
      <w:lvlText w:val=""/>
      <w:lvlJc w:val="left"/>
      <w:pPr>
        <w:ind w:left="567" w:hanging="34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36399"/>
    <w:multiLevelType w:val="hybridMultilevel"/>
    <w:tmpl w:val="6D5AB6EA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734B5"/>
    <w:multiLevelType w:val="hybridMultilevel"/>
    <w:tmpl w:val="A4DE67FA"/>
    <w:lvl w:ilvl="0" w:tplc="CE4CE180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168E9"/>
    <w:multiLevelType w:val="hybridMultilevel"/>
    <w:tmpl w:val="DD186FB4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6A6E"/>
    <w:multiLevelType w:val="hybridMultilevel"/>
    <w:tmpl w:val="4630178A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B0AEB"/>
    <w:multiLevelType w:val="hybridMultilevel"/>
    <w:tmpl w:val="5D8C5292"/>
    <w:lvl w:ilvl="0" w:tplc="3C644FD0">
      <w:start w:val="1"/>
      <w:numFmt w:val="bullet"/>
      <w:lvlText w:val=""/>
      <w:lvlJc w:val="left"/>
      <w:pPr>
        <w:ind w:left="567" w:hanging="34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62"/>
    <w:multiLevelType w:val="hybridMultilevel"/>
    <w:tmpl w:val="821ABE44"/>
    <w:lvl w:ilvl="0" w:tplc="6642814A">
      <w:start w:val="1"/>
      <w:numFmt w:val="bullet"/>
      <w:lvlText w:val=""/>
      <w:lvlJc w:val="left"/>
      <w:pPr>
        <w:ind w:left="567" w:hanging="34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50D0C"/>
    <w:multiLevelType w:val="hybridMultilevel"/>
    <w:tmpl w:val="C6C8956A"/>
    <w:lvl w:ilvl="0" w:tplc="1AE41638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17C09"/>
    <w:multiLevelType w:val="hybridMultilevel"/>
    <w:tmpl w:val="60DC69A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6387F"/>
    <w:multiLevelType w:val="hybridMultilevel"/>
    <w:tmpl w:val="34D8D002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D231A"/>
    <w:multiLevelType w:val="hybridMultilevel"/>
    <w:tmpl w:val="3F58A5B2"/>
    <w:lvl w:ilvl="0" w:tplc="83A4BA44">
      <w:start w:val="1"/>
      <w:numFmt w:val="bullet"/>
      <w:lvlText w:val=""/>
      <w:lvlJc w:val="left"/>
      <w:pPr>
        <w:ind w:left="567" w:hanging="34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75AA4"/>
    <w:multiLevelType w:val="hybridMultilevel"/>
    <w:tmpl w:val="CC78B8EA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85"/>
    <w:rsid w:val="000362D9"/>
    <w:rsid w:val="000526BF"/>
    <w:rsid w:val="000808F0"/>
    <w:rsid w:val="000B02BC"/>
    <w:rsid w:val="000D1BBB"/>
    <w:rsid w:val="00121E0B"/>
    <w:rsid w:val="001457A4"/>
    <w:rsid w:val="00162936"/>
    <w:rsid w:val="001707F6"/>
    <w:rsid w:val="00184F42"/>
    <w:rsid w:val="0018682F"/>
    <w:rsid w:val="0019589C"/>
    <w:rsid w:val="001B0439"/>
    <w:rsid w:val="001E308C"/>
    <w:rsid w:val="002043D2"/>
    <w:rsid w:val="00241C4B"/>
    <w:rsid w:val="0027169E"/>
    <w:rsid w:val="002A74C5"/>
    <w:rsid w:val="002D678C"/>
    <w:rsid w:val="002F2A7F"/>
    <w:rsid w:val="00311494"/>
    <w:rsid w:val="003519EB"/>
    <w:rsid w:val="00382713"/>
    <w:rsid w:val="00386CB5"/>
    <w:rsid w:val="003C0E7B"/>
    <w:rsid w:val="003C4467"/>
    <w:rsid w:val="003F3A5F"/>
    <w:rsid w:val="00457C5C"/>
    <w:rsid w:val="00491A8C"/>
    <w:rsid w:val="00493638"/>
    <w:rsid w:val="00582981"/>
    <w:rsid w:val="0059664D"/>
    <w:rsid w:val="005A4DB3"/>
    <w:rsid w:val="005D06CE"/>
    <w:rsid w:val="005D0CA0"/>
    <w:rsid w:val="0060430C"/>
    <w:rsid w:val="00605EAB"/>
    <w:rsid w:val="00627203"/>
    <w:rsid w:val="006314A6"/>
    <w:rsid w:val="0066574D"/>
    <w:rsid w:val="00671C8A"/>
    <w:rsid w:val="007210AA"/>
    <w:rsid w:val="00753D57"/>
    <w:rsid w:val="00756CE7"/>
    <w:rsid w:val="007B55A6"/>
    <w:rsid w:val="007D5C7F"/>
    <w:rsid w:val="00805995"/>
    <w:rsid w:val="00806142"/>
    <w:rsid w:val="00814489"/>
    <w:rsid w:val="00817CDE"/>
    <w:rsid w:val="008240C0"/>
    <w:rsid w:val="00837148"/>
    <w:rsid w:val="00851108"/>
    <w:rsid w:val="008913AB"/>
    <w:rsid w:val="008C75F9"/>
    <w:rsid w:val="008D05D6"/>
    <w:rsid w:val="008E637D"/>
    <w:rsid w:val="00900F84"/>
    <w:rsid w:val="00913431"/>
    <w:rsid w:val="00924CA3"/>
    <w:rsid w:val="009266EC"/>
    <w:rsid w:val="00961B87"/>
    <w:rsid w:val="00992720"/>
    <w:rsid w:val="009A623B"/>
    <w:rsid w:val="009B67C6"/>
    <w:rsid w:val="009C4B42"/>
    <w:rsid w:val="009C6C12"/>
    <w:rsid w:val="00A16F4A"/>
    <w:rsid w:val="00A40BA9"/>
    <w:rsid w:val="00A76B22"/>
    <w:rsid w:val="00AA253E"/>
    <w:rsid w:val="00AB5352"/>
    <w:rsid w:val="00AD45DC"/>
    <w:rsid w:val="00B1345C"/>
    <w:rsid w:val="00B161F8"/>
    <w:rsid w:val="00B27A86"/>
    <w:rsid w:val="00B85CD8"/>
    <w:rsid w:val="00B935EE"/>
    <w:rsid w:val="00BB5F01"/>
    <w:rsid w:val="00BC11F9"/>
    <w:rsid w:val="00C368C9"/>
    <w:rsid w:val="00C40B38"/>
    <w:rsid w:val="00C44694"/>
    <w:rsid w:val="00C50298"/>
    <w:rsid w:val="00C6395C"/>
    <w:rsid w:val="00CB0B96"/>
    <w:rsid w:val="00CB183B"/>
    <w:rsid w:val="00CD7564"/>
    <w:rsid w:val="00CE5B85"/>
    <w:rsid w:val="00CF3BA6"/>
    <w:rsid w:val="00CF5639"/>
    <w:rsid w:val="00CF57F4"/>
    <w:rsid w:val="00D14462"/>
    <w:rsid w:val="00D43CF4"/>
    <w:rsid w:val="00D55D71"/>
    <w:rsid w:val="00D7315D"/>
    <w:rsid w:val="00DB1EC5"/>
    <w:rsid w:val="00DC3164"/>
    <w:rsid w:val="00E76A5C"/>
    <w:rsid w:val="00E8372C"/>
    <w:rsid w:val="00E85903"/>
    <w:rsid w:val="00EA2A16"/>
    <w:rsid w:val="00EA6D0D"/>
    <w:rsid w:val="00EA6EC3"/>
    <w:rsid w:val="00EF3E6E"/>
    <w:rsid w:val="00F16485"/>
    <w:rsid w:val="00F275A6"/>
    <w:rsid w:val="00F6340C"/>
    <w:rsid w:val="00F846E4"/>
    <w:rsid w:val="00FB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50C599"/>
  <w15:chartTrackingRefBased/>
  <w15:docId w15:val="{A9E64BE5-516D-46B4-86B4-FDC91BAF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5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B85"/>
  </w:style>
  <w:style w:type="paragraph" w:styleId="Footer">
    <w:name w:val="footer"/>
    <w:basedOn w:val="Normal"/>
    <w:link w:val="FooterChar"/>
    <w:uiPriority w:val="99"/>
    <w:unhideWhenUsed/>
    <w:rsid w:val="00CE5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B85"/>
  </w:style>
  <w:style w:type="paragraph" w:styleId="ListParagraph">
    <w:name w:val="List Paragraph"/>
    <w:basedOn w:val="Normal"/>
    <w:uiPriority w:val="34"/>
    <w:qFormat/>
    <w:rsid w:val="00F846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7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5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64519-582C-6F41-A883-8D41AED9B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</dc:creator>
  <cp:keywords/>
  <dc:description/>
  <cp:lastModifiedBy>Nancy McKerroll</cp:lastModifiedBy>
  <cp:revision>4</cp:revision>
  <cp:lastPrinted>2020-07-17T15:56:00Z</cp:lastPrinted>
  <dcterms:created xsi:type="dcterms:W3CDTF">2020-08-06T18:48:00Z</dcterms:created>
  <dcterms:modified xsi:type="dcterms:W3CDTF">2020-08-06T19:04:00Z</dcterms:modified>
</cp:coreProperties>
</file>